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32"/>
          <w:szCs w:val="32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32"/>
          <w:szCs w:val="3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68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32"/>
          <w:szCs w:val="32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181818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32"/>
          <w:szCs w:val="32"/>
        </w:rPr>
        <w:t xml:space="preserve">РАБОЧАЯ ПРОГРАММА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32"/>
          <w:szCs w:val="32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32"/>
          <w:szCs w:val="32"/>
        </w:rPr>
        <w:t>СОЦИАЛЬНОГО ПЕДАГОГА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32"/>
          <w:szCs w:val="32"/>
        </w:rPr>
        <w:t> </w:t>
      </w:r>
      <w:r>
        <w:rPr>
          <w:rFonts w:eastAsia="Times New Roman" w:cs="Times New Roman" w:ascii="Times New Roman" w:hAnsi="Times New Roman"/>
          <w:b/>
          <w:bCs/>
          <w:color w:val="181818"/>
          <w:sz w:val="32"/>
          <w:szCs w:val="32"/>
        </w:rPr>
        <w:t>ДЛЯ ОБУЧАЮЩИХСЯ С ОВЗ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81818"/>
          <w:sz w:val="32"/>
          <w:szCs w:val="32"/>
        </w:rPr>
      </w:pPr>
      <w:r>
        <w:rPr>
          <w:rFonts w:eastAsia="Times New Roman" w:cs="Times New Roman" w:ascii="Times New Roman" w:hAnsi="Times New Roman"/>
          <w:color w:val="181818"/>
          <w:sz w:val="32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W w:w="10915" w:type="dxa"/>
        <w:jc w:val="left"/>
        <w:tblInd w:w="-346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65"/>
        <w:gridCol w:w="2268"/>
        <w:gridCol w:w="8082"/>
      </w:tblGrid>
      <w:tr>
        <w:trPr>
          <w:trHeight w:val="120" w:hRule="atLeast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808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Задачи модуля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Модуль «Права и обязанности»</w:t>
            </w:r>
          </w:p>
        </w:tc>
        <w:tc>
          <w:tcPr>
            <w:tcW w:w="8082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представлений о поведении в школе, школьном укладе жизни.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у обучающихся гражданской ответственности и правового самопознания</w:t>
            </w:r>
          </w:p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Знание Конституции РФ и Конвенции о правах ребёнка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Модуль «Безопасность»</w:t>
            </w:r>
          </w:p>
        </w:tc>
        <w:tc>
          <w:tcPr>
            <w:tcW w:w="8082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ответственного и безопасного поведения на улице.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навыков самозащиты, избегания ситуаций риска</w:t>
            </w:r>
          </w:p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навыков отстаивания позиции, конструктивное решение конфликтов</w:t>
            </w:r>
          </w:p>
        </w:tc>
      </w:tr>
      <w:tr>
        <w:trPr>
          <w:trHeight w:val="150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Модуль «Я и мы»</w:t>
            </w:r>
          </w:p>
        </w:tc>
        <w:tc>
          <w:tcPr>
            <w:tcW w:w="8082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Способствовать становлению, развитию и воспитанию в ребёнке благородного человека путём раскрытия его личностных качеств.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Обрести уверенность в себе, навыки  продуктивного взаимодействия с окружающими людьми, успешно адаптироваться  к жизни в социуме.</w:t>
            </w:r>
          </w:p>
          <w:p>
            <w:pPr>
              <w:pStyle w:val="Normal"/>
              <w:spacing w:lineRule="atLeast" w:line="1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навыков культурного поведения, правил хорошего тона.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Модуль «Здоровье»</w:t>
            </w:r>
          </w:p>
        </w:tc>
        <w:tc>
          <w:tcPr>
            <w:tcW w:w="8082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представлений о своем физическом «Я»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у обучающихся навыков культуры питания, здорового образа жизни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284" w:right="58" w:firstLine="71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/>
        <w:ind w:left="284" w:right="58" w:firstLine="71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left="284" w:right="58" w:firstLine="71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left="284" w:right="58" w:firstLine="71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left="284" w:right="58" w:firstLine="71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Прогнозируемые результаты</w:t>
      </w:r>
    </w:p>
    <w:tbl>
      <w:tblPr>
        <w:tblW w:w="10934" w:type="dxa"/>
        <w:jc w:val="left"/>
        <w:tblInd w:w="-36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  <w:gridCol w:w="6114"/>
      </w:tblGrid>
      <w:tr>
        <w:trPr>
          <w:trHeight w:val="271" w:hRule="atLeast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>
        <w:trPr>
          <w:trHeight w:val="785" w:hRule="atLeast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Повышать уровень  познавательной активности и расширять объем  имеющихся знаний и представлений об окружающем мире</w:t>
            </w:r>
          </w:p>
        </w:tc>
        <w:tc>
          <w:tcPr>
            <w:tcW w:w="611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Должны уметь ориентироваться в окружающем мире, знать мир  профессий.</w:t>
            </w:r>
          </w:p>
        </w:tc>
      </w:tr>
      <w:tr>
        <w:trPr>
          <w:trHeight w:val="1106" w:hRule="atLeast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Развить у обучающихся способность к профессиональной адаптации, умения, навыки необходимые  для общения и взаимодействия с другими людьми</w:t>
            </w:r>
          </w:p>
        </w:tc>
        <w:tc>
          <w:tcPr>
            <w:tcW w:w="611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Должны уметь культурно  вести себя в обществе и различных жизненных ситуациях, конструктивно взаимодействовать с окружающими.</w:t>
            </w:r>
          </w:p>
        </w:tc>
      </w:tr>
      <w:tr>
        <w:trPr>
          <w:trHeight w:val="813" w:hRule="atLeast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Сохранять и укреплять здоровье обучающихся и формировать мотивацию у них на здоровый образ жизни</w:t>
            </w:r>
          </w:p>
        </w:tc>
        <w:tc>
          <w:tcPr>
            <w:tcW w:w="611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Иметь представления о позитивных факторах, влияющих на здоровье, умение самостоятельно поддерживать свое здоровье.</w:t>
            </w:r>
          </w:p>
        </w:tc>
      </w:tr>
      <w:tr>
        <w:trPr>
          <w:trHeight w:val="1124" w:hRule="atLeast"/>
        </w:trPr>
        <w:tc>
          <w:tcPr>
            <w:tcW w:w="4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Формировать навыки и умения необходимые для успешного вхождения в общество в процессе трудового, социально бытового обучения</w:t>
            </w:r>
          </w:p>
        </w:tc>
        <w:tc>
          <w:tcPr>
            <w:tcW w:w="6114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5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Должны уметь применять полученные знания в практической жизнедеятельности, знать доступные приемы труда и правила  безопасной работы и гигиены труда.</w:t>
            </w:r>
          </w:p>
        </w:tc>
      </w:tr>
    </w:tbl>
    <w:p>
      <w:pPr>
        <w:pStyle w:val="Normal"/>
        <w:shd w:val="clear" w:color="auto" w:fill="FFFFFF"/>
        <w:spacing w:lineRule="atLeast" w:line="286" w:before="0" w:after="0"/>
        <w:ind w:firstLine="851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286" w:before="0" w:after="0"/>
        <w:ind w:firstLine="851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>
      <w:pPr>
        <w:pStyle w:val="Normal"/>
        <w:shd w:val="clear" w:color="auto" w:fill="FFFFFF"/>
        <w:spacing w:lineRule="atLeast" w:line="286" w:before="0" w:after="0"/>
        <w:ind w:firstLine="851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8 класс</w:t>
      </w:r>
    </w:p>
    <w:p>
      <w:pPr>
        <w:pStyle w:val="Normal"/>
        <w:shd w:val="clear" w:color="auto" w:fill="FFFFFF"/>
        <w:spacing w:lineRule="atLeast" w:line="286"/>
        <w:ind w:firstLine="851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tbl>
      <w:tblPr>
        <w:tblW w:w="11133" w:type="dxa"/>
        <w:jc w:val="left"/>
        <w:tblInd w:w="-489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65"/>
        <w:gridCol w:w="569"/>
        <w:gridCol w:w="7654"/>
        <w:gridCol w:w="2344"/>
      </w:tblGrid>
      <w:tr>
        <w:trPr>
          <w:trHeight w:val="120" w:hRule="atLeast"/>
        </w:trPr>
        <w:tc>
          <w:tcPr>
            <w:tcW w:w="11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>
        <w:trPr>
          <w:trHeight w:val="135" w:hRule="atLeast"/>
        </w:trPr>
        <w:tc>
          <w:tcPr>
            <w:tcW w:w="113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Модуль «Права и обязанности»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Права и обязанности несовершеннолетнего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Труд – право или обязанность. Трудовые права несовершеннолетних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ind w:right="-11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Где и кто должен трудиться (о важности образования при трудоустройстве)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Семейный Кодекс РФ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Ответственность за ложные сообщения о терроризме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Обязанности подростка в семье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3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Виды занятости подростка. Формы отдыха и оздоровления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3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13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Модуль «Безопасность»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Предупреждение бытового и школьного травматизма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 правилах безопасного поведения при обнаружении взрывчатых, отравляющих или ядовитых веществ. О запрещении приноса в школу таких веществ.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Телефонные злоумышленники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Такси. Вызов такси по телефону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Суицид среди подростков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 и моя уличная компания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Опасные ситуации на дороге и водоеме зимой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8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75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Осторожно, пиротехника! Безопасный праздник Новый год!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75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13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tLeast" w:line="15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Модуль «Я и мы»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tLeast" w:line="15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Как справиться с плохим настроением, раздражением, обидой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 и другие. Общение и конфликт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Кем быть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Менеджер своей жизни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Сила воли и характер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Культура речи.  Ненормативная лексика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 честности и умении держать слово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Для чего нужна семья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Жизнь дана для добрых дел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3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Модуль «Здоровье»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Роль чистоты кожи, регулярной смены белья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 будь врагом себе! Выбирай здоровый образ жизни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val="000000"/>
                <w:sz w:val="24"/>
                <w:szCs w:val="24"/>
              </w:rPr>
              <w:t>Как победить простуду? Предупреждение простудных заболеваний и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 CYR" w:ascii="Times New Roman CYR" w:hAnsi="Times New Roman CYR"/>
                <w:color w:val="000000"/>
                <w:sz w:val="24"/>
                <w:szCs w:val="24"/>
              </w:rPr>
              <w:t>гриппа. Домашняя аптечка. Термометр.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Утомления и их предупреждение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Как не заболеть. Профилактика туберкулеза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Первая медицинская помощь при несчастных случаях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Алкоголь и его пагубное влияние на организм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Наркотики и их последствия для здоровья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6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44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>
      <w:pPr>
        <w:pStyle w:val="Normal"/>
        <w:shd w:val="clear" w:color="auto" w:fill="FFFFFF"/>
        <w:spacing w:lineRule="atLeast" w:line="286" w:before="0" w:after="0"/>
        <w:ind w:firstLine="851"/>
        <w:jc w:val="both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5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Используемая литература</w:t>
      </w:r>
    </w:p>
    <w:p>
      <w:pPr>
        <w:pStyle w:val="Normal"/>
        <w:shd w:val="clear" w:color="auto" w:fill="FFFFFF"/>
        <w:spacing w:lineRule="auto" w:line="240" w:before="0" w:after="0"/>
        <w:ind w:left="284" w:right="58" w:firstLine="71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Альбом «Ваши права». – Тамбов, 2001.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2.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Arial" w:ascii="Arial" w:hAnsi="Arial"/>
          <w:color w:val="000000"/>
          <w:sz w:val="25"/>
          <w:szCs w:val="25"/>
        </w:rPr>
        <w:t>Бездна: Пьянство. Наркомания. СПИД. – М.: Айрис-Пресс, 2004.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Безмалый В.Ф. Обеспечение безопасности детей при работе в Интернет. http://vladbez. spaces.live.com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Безмалый В.Ф. Современные угрозы в цифровом мире. http:/BEZMALY.WORDPRESS. COM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5.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Arial" w:ascii="Arial" w:hAnsi="Arial"/>
          <w:color w:val="000000"/>
          <w:sz w:val="25"/>
          <w:szCs w:val="25"/>
        </w:rPr>
        <w:t>Бенюмов В. М., Костенко О. Р., Флоренсова К. М. Вред алкоголя, никотина, наркотиков. – Киев: Радзяньска школа, 1999.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6.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Arial" w:ascii="Arial" w:hAnsi="Arial"/>
          <w:color w:val="000000"/>
          <w:sz w:val="25"/>
          <w:szCs w:val="25"/>
        </w:rPr>
        <w:t>Буянов М. И. Размышления о наркомании. – М.: Просвещение, 1999.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7.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Arial" w:ascii="Arial" w:hAnsi="Arial"/>
          <w:color w:val="000000"/>
          <w:sz w:val="25"/>
          <w:szCs w:val="25"/>
        </w:rPr>
        <w:t>Велигородная В.А. Классные часы по гражданскому и правовому воспитанию. – М., 2006.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Дик Н.Ф. Правовые классные часы в 7-9 классах, Ростов на Дону, 2006.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Журнал «Дети в информационном обществе» 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</w:rPr>
          <w:t>http://detionline.com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Козлов Э., Петрова В., Хомякова И. Азбука нравственности.// Воспитание школьников, 2004-2007. - № 1-9.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Колесов Д. В. </w:t>
      </w:r>
      <w:r>
        <w:rPr>
          <w:rFonts w:eastAsia="Times New Roman" w:cs="Arial" w:ascii="Arial" w:hAnsi="Arial"/>
          <w:color w:val="000000"/>
          <w:sz w:val="25"/>
          <w:szCs w:val="25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допустить беды. – М.: Педагогика, 2001.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 – М.: Просвещение, 2011.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13.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Arial" w:ascii="Arial" w:hAnsi="Arial"/>
          <w:color w:val="000000"/>
          <w:sz w:val="25"/>
          <w:szCs w:val="25"/>
        </w:rPr>
        <w:t>Левин Б. М., Левин М. Б. Наркомания и наркоманы. – М.: Просвещение, 2001.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14.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Arial" w:ascii="Arial" w:hAnsi="Arial"/>
          <w:color w:val="000000"/>
          <w:sz w:val="25"/>
          <w:szCs w:val="25"/>
        </w:rPr>
        <w:t>Макеева А. Г. Педагогическая профилактика наркотизма школьников. – М.: Просвещение, 2005.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15.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Arial" w:ascii="Arial" w:hAnsi="Arial"/>
          <w:color w:val="000000"/>
          <w:sz w:val="25"/>
          <w:szCs w:val="25"/>
        </w:rPr>
        <w:t>Наркомания в России: состояние, тенденции, пути преодоления: Пособие для родителей/Под общей редакцией доктора социологических наук, проф. А.Н. Гаранского. – М.: Изд-во ВЛАДОС-ПРЕСС, 2003 – 352с.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16.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Arial" w:ascii="Arial" w:hAnsi="Arial"/>
          <w:color w:val="000000"/>
          <w:sz w:val="25"/>
          <w:szCs w:val="25"/>
        </w:rPr>
        <w:t>Правовое воспитание школьников 5 – 9 классы. – Волгоград, 2005.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Arial" w:ascii="Arial" w:hAnsi="Arial"/>
          <w:color w:val="000000"/>
          <w:sz w:val="25"/>
          <w:szCs w:val="25"/>
        </w:rPr>
        <w:t>17.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Arial" w:ascii="Arial" w:hAnsi="Arial"/>
          <w:color w:val="000000"/>
          <w:sz w:val="25"/>
          <w:szCs w:val="25"/>
        </w:rPr>
        <w:t>Прутченков А. С. Шаг за шагом, или Технология подготовки и реализации социального проекта. – М.: Юкос, 1999.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18.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Сайт «Безопасность детей» Онлайн-Энциклопедия http://bezopasnost-detej.ru/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19.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 Сайт «Фонд развития Интернет» http://www.fid.su/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Сергеева В.П. Классный руководитель в современной школе. – М., 2000.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21.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Суслов В.Н. Этикет: учусь правилам поведения. 1- 4 классы. Тесты и практические задания. М.: Просвещение, 2010.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22.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Тисленкова И.А. Нравственное воспитание: для организаторов воспитательной работы и классных руководителей. – М.: Просвещение, 2008.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23.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Шемшурина А.И. Этическая грамматика в начальных классах. – М.: Школа-Пресс, 2004.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24.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shd w:fill="FFFFFF" w:val="clear"/>
        </w:rPr>
        <w:t>Кулинич Г.Г. Вредные привычки: профилактика зависимостей: 8-11 классы.- М.: ВАКО, 2008.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25.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Методические рекомендации: Методика организации недели «Безопасность Интернет»./ Авторы составители: Селиванова О. В., Иванова И. Ю., Примакова Е. А., Кривопалова И. В. - Тамбов, ИПКРО 2012.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26.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 в 2019 году. https:// www.xn--d1abkefqip0a2f.xn--p1ai/index.php/proekty/urok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27.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 направлены на организацию преподавания основ информационной безопасности в общеобразовательных организациях Российской Федерации. https://www.xn--d1abkefqip0a2f.xn--p1ai/index.php/ proekty/urok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181818"/>
          <w:sz w:val="25"/>
          <w:szCs w:val="25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28.</w:t>
      </w:r>
      <w:r>
        <w:rPr>
          <w:rFonts w:eastAsia="Times New Roman" w:cs="Times New Roman" w:ascii="Times New Roman" w:hAnsi="Times New Roman"/>
          <w:color w:val="000000"/>
          <w:sz w:val="14"/>
          <w:szCs w:val="14"/>
        </w:rPr>
        <w:t>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Фалькович Т.А. Подростки 21 века. Психолого-педагогическая работа в кризисных ситуациях. – М., 2006.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160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7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2" w:customStyle="1">
    <w:name w:val="c12"/>
    <w:basedOn w:val="DefaultParagraphFont"/>
    <w:qFormat/>
    <w:rsid w:val="00e403a4"/>
    <w:rPr/>
  </w:style>
  <w:style w:type="character" w:styleId="C4" w:customStyle="1">
    <w:name w:val="c4"/>
    <w:basedOn w:val="DefaultParagraphFont"/>
    <w:qFormat/>
    <w:rsid w:val="00e403a4"/>
    <w:rPr/>
  </w:style>
  <w:style w:type="character" w:styleId="Strong">
    <w:name w:val="Strong"/>
    <w:basedOn w:val="DefaultParagraphFont"/>
    <w:uiPriority w:val="22"/>
    <w:qFormat/>
    <w:rsid w:val="00e403a4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e403a4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e403a4"/>
    <w:rPr>
      <w:color w:val="800080"/>
      <w:u w:val="single"/>
    </w:rPr>
  </w:style>
  <w:style w:type="character" w:styleId="Sliderreaderbtn" w:customStyle="1">
    <w:name w:val="slider-reader__btn"/>
    <w:basedOn w:val="DefaultParagraphFont"/>
    <w:qFormat/>
    <w:rsid w:val="00e403a4"/>
    <w:rPr/>
  </w:style>
  <w:style w:type="character" w:styleId="Ranktitle" w:customStyle="1">
    <w:name w:val="rank__title"/>
    <w:basedOn w:val="DefaultParagraphFont"/>
    <w:qFormat/>
    <w:rsid w:val="00e403a4"/>
    <w:rPr/>
  </w:style>
  <w:style w:type="character" w:styleId="Ranknumber" w:customStyle="1">
    <w:name w:val="rank__number"/>
    <w:basedOn w:val="DefaultParagraphFont"/>
    <w:qFormat/>
    <w:rsid w:val="00e403a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403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403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403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materialtext" w:customStyle="1">
    <w:name w:val="complain-material__text"/>
    <w:basedOn w:val="Normal"/>
    <w:qFormat/>
    <w:rsid w:val="00e403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etionline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LibreOffice/6.4.6.2$Linux_X86_64 LibreOffice_project/40$Build-2</Application>
  <Pages>6</Pages>
  <Words>944</Words>
  <Characters>6157</Characters>
  <CharactersWithSpaces>7073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2021-10-14T16:07:00Z</dcterms:created>
  <dc:creator>Пользователь</dc:creator>
  <dc:description/>
  <dc:language>ru-RU</dc:language>
  <cp:lastModifiedBy/>
  <dcterms:modified xsi:type="dcterms:W3CDTF">2023-10-02T18:22:00Z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