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A" w:rsidRDefault="004C4265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-710565</wp:posOffset>
            </wp:positionV>
            <wp:extent cx="7696200" cy="2724150"/>
            <wp:effectExtent l="19050" t="0" r="0" b="0"/>
            <wp:wrapNone/>
            <wp:docPr id="2" name="Рисунок 2" descr="scanlit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lite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265" w:rsidRDefault="004C4265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</w:p>
    <w:p w:rsidR="004C4265" w:rsidRDefault="004C4265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</w:p>
    <w:p w:rsidR="004C4265" w:rsidRDefault="004C4265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</w:p>
    <w:p w:rsidR="004C4265" w:rsidRDefault="004C4265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</w:p>
    <w:p w:rsidR="00BC3C1A" w:rsidRDefault="00BC3C1A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</w:p>
    <w:p w:rsidR="004C4265" w:rsidRDefault="004C4265" w:rsidP="00BC3C1A">
      <w:pPr>
        <w:ind w:left="-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479" w:rsidRDefault="00B87479" w:rsidP="00BC3C1A">
      <w:pPr>
        <w:ind w:left="-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8BF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4C426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  <w:r w:rsidR="00BC3C1A" w:rsidRPr="00AA38BF">
        <w:rPr>
          <w:rFonts w:ascii="Times New Roman" w:hAnsi="Times New Roman" w:cs="Times New Roman"/>
          <w:b/>
          <w:sz w:val="36"/>
          <w:szCs w:val="36"/>
        </w:rPr>
        <w:t>о</w:t>
      </w:r>
      <w:r w:rsidRPr="00AA38BF">
        <w:rPr>
          <w:rFonts w:ascii="Times New Roman" w:hAnsi="Times New Roman" w:cs="Times New Roman"/>
          <w:b/>
          <w:sz w:val="36"/>
          <w:szCs w:val="36"/>
        </w:rPr>
        <w:t xml:space="preserve"> проведении текущего контроля успеваемости и промежуточной </w:t>
      </w:r>
      <w:proofErr w:type="gramStart"/>
      <w:r w:rsidRPr="00AA38BF">
        <w:rPr>
          <w:rFonts w:ascii="Times New Roman" w:hAnsi="Times New Roman" w:cs="Times New Roman"/>
          <w:b/>
          <w:sz w:val="36"/>
          <w:szCs w:val="36"/>
        </w:rPr>
        <w:t>аттестации</w:t>
      </w:r>
      <w:proofErr w:type="gramEnd"/>
      <w:r w:rsidRPr="00AA38BF">
        <w:rPr>
          <w:rFonts w:ascii="Times New Roman" w:hAnsi="Times New Roman" w:cs="Times New Roman"/>
          <w:b/>
          <w:sz w:val="36"/>
          <w:szCs w:val="36"/>
        </w:rPr>
        <w:t xml:space="preserve"> обучающихся </w:t>
      </w:r>
      <w:r w:rsidR="00AA38BF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</w:t>
      </w:r>
      <w:r w:rsidRPr="00AA38BF">
        <w:rPr>
          <w:rFonts w:ascii="Times New Roman" w:hAnsi="Times New Roman" w:cs="Times New Roman"/>
          <w:b/>
          <w:sz w:val="36"/>
          <w:szCs w:val="36"/>
        </w:rPr>
        <w:t xml:space="preserve"> «Первомайская </w:t>
      </w:r>
      <w:r w:rsidR="00AA38BF">
        <w:rPr>
          <w:rFonts w:ascii="Times New Roman" w:hAnsi="Times New Roman" w:cs="Times New Roman"/>
          <w:b/>
          <w:sz w:val="36"/>
          <w:szCs w:val="36"/>
        </w:rPr>
        <w:t>основная общеобразовательная школа</w:t>
      </w:r>
      <w:r w:rsidRPr="00AA38BF">
        <w:rPr>
          <w:rFonts w:ascii="Times New Roman" w:hAnsi="Times New Roman" w:cs="Times New Roman"/>
          <w:b/>
          <w:sz w:val="36"/>
          <w:szCs w:val="36"/>
        </w:rPr>
        <w:t>» Урицкого района Орловской области</w:t>
      </w:r>
    </w:p>
    <w:p w:rsidR="00AA38BF" w:rsidRDefault="00AA38BF" w:rsidP="00BC3C1A">
      <w:pPr>
        <w:ind w:left="-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479" w:rsidRPr="00B87479" w:rsidRDefault="00B87479" w:rsidP="00B87479">
      <w:pPr>
        <w:ind w:left="-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79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B87479" w:rsidRDefault="00B87479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Положения является проведение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МБОУ «Первомайская ООШ» (далее Школа).</w:t>
      </w:r>
    </w:p>
    <w:p w:rsidR="00B87479" w:rsidRDefault="00B87479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с целью создания необходимых и достаточных условий для организации и проведения текущего контроля успеваемости и промежуточной аттестации обучающихся Школы.</w:t>
      </w:r>
    </w:p>
    <w:p w:rsidR="00B87479" w:rsidRDefault="00B87479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Положении применяются следующие основные понятия;</w:t>
      </w:r>
    </w:p>
    <w:p w:rsidR="00B87479" w:rsidRDefault="00B87479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Текущий контроль успеваемости обучающихся – регулярная оценка педагогическими работниками и/или иными уполномоченными работниками Школы уровня достижения обучающимися установленных на определенных этапах образовательной деятельности</w:t>
      </w:r>
      <w:r w:rsidR="00BC3C1A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основных образовательных программ начального общего и основного общего образования;</w:t>
      </w:r>
    </w:p>
    <w:p w:rsidR="00E6363F" w:rsidRPr="00C82462" w:rsidRDefault="00BC3C1A" w:rsidP="00E6363F">
      <w:pPr>
        <w:ind w:lef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1.3.2. 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уровня освоения обучающимися образовательной программы (начального, основного общего образования), в том числе отдельной части или всего объема </w:t>
      </w:r>
      <w:r w:rsidR="00E6363F" w:rsidRPr="00C82462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образовательной программы.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1.4.</w:t>
      </w:r>
      <w:r w:rsidRPr="00C8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10 части 3 статьи28, статьи 58 Федерального закона «Об образовании в Российской Федерации»;</w:t>
      </w:r>
      <w:r w:rsidR="002E36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2462">
        <w:rPr>
          <w:rFonts w:ascii="Times New Roman" w:hAnsi="Times New Roman" w:cs="Times New Roman"/>
          <w:sz w:val="28"/>
          <w:szCs w:val="28"/>
        </w:rPr>
        <w:t>Приказам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30 августа </w:t>
      </w:r>
      <w:r w:rsidRPr="00C82462">
        <w:rPr>
          <w:rFonts w:ascii="Times New Roman" w:hAnsi="Times New Roman" w:cs="Times New Roman"/>
          <w:sz w:val="28"/>
          <w:szCs w:val="28"/>
        </w:rPr>
        <w:t>2013 года № 1015 «Об утверждении Порядка организации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и уставом Школы.</w:t>
      </w:r>
      <w:proofErr w:type="gramEnd"/>
    </w:p>
    <w:p w:rsidR="00E6363F" w:rsidRPr="00370C13" w:rsidRDefault="00E6363F" w:rsidP="003D0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13">
        <w:rPr>
          <w:rFonts w:ascii="Times New Roman" w:hAnsi="Times New Roman" w:cs="Times New Roman"/>
          <w:b/>
          <w:sz w:val="28"/>
          <w:szCs w:val="28"/>
        </w:rPr>
        <w:t xml:space="preserve">П. Содержание, формы и порядок проведения текущего контроля успеваемости </w:t>
      </w:r>
      <w:proofErr w:type="gramStart"/>
      <w:r w:rsidRPr="00370C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6363F" w:rsidRPr="00C82462" w:rsidRDefault="00E6363F" w:rsidP="00E63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2.1.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Текущий контроль успеваемости обучающихся (далее—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>кущий контроль) проводится с целью своевременного реагирования педагогических работников на отклонение от заданных федеральными государственными образовательными стандартами общего образования (в том числе для обучающихся с ОВЗ) тре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2462">
        <w:rPr>
          <w:rFonts w:ascii="Times New Roman" w:hAnsi="Times New Roman" w:cs="Times New Roman"/>
          <w:sz w:val="28"/>
          <w:szCs w:val="28"/>
        </w:rPr>
        <w:t>ований к планируемым результатам освоения обучающимися учебных предметов, курсов, дисциплин (модулей), предусмотренных 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программой.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Текущий контроль проводится в течение учебного года с подведением итог</w:t>
      </w:r>
      <w:r>
        <w:rPr>
          <w:rFonts w:ascii="Times New Roman" w:hAnsi="Times New Roman" w:cs="Times New Roman"/>
          <w:sz w:val="28"/>
          <w:szCs w:val="28"/>
        </w:rPr>
        <w:t>ов в 1- 9¬м классах по четвертям</w:t>
      </w:r>
      <w:r w:rsidRPr="00C82462">
        <w:rPr>
          <w:rFonts w:ascii="Times New Roman" w:hAnsi="Times New Roman" w:cs="Times New Roman"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2.2</w:t>
      </w:r>
      <w:r w:rsidRPr="00C82462">
        <w:rPr>
          <w:rFonts w:ascii="Times New Roman" w:hAnsi="Times New Roman" w:cs="Times New Roman"/>
          <w:sz w:val="28"/>
          <w:szCs w:val="28"/>
        </w:rPr>
        <w:tab/>
        <w:t>Текущий контроль осуществляет педагог, реализующий соответствующую часть образовательной программы Школы, в соответствии со своими должностными обязанностями.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2.3.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Периодичность и формы текущего контроля определяются методическими объединениями педагогов Школы (и/или педагогами Школы) и отражаются (закрепляются) в рабочих программах учебных предметов, курсов, дисциплин (модулей) реализуемых в Школе основных общеобразовательных программ.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2.4.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Результаты текущего контроля фиксируются в классных и электронных журналах. Фиксация результатов текущего контроля осуществляется по пятибалльной шкале в соответствии с принятой в Школе системой оценивания</w:t>
      </w:r>
      <w:r w:rsidR="003D00B7">
        <w:rPr>
          <w:rFonts w:ascii="Times New Roman" w:hAnsi="Times New Roman" w:cs="Times New Roman"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Текущий контроль успеваемости обучающихся первого класса осуществляется без фиксации достижений учащихся в виде отметок по пятибалльной шкале, при этом используется только положительная и не различаемая по уровням оценка. Текущий контроль успеваемости обучающихся четвертого класса по предмету ОРКСЭ в течение учебного года осуществляется без фиксации достижений обучающихся в виде отметок.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2.6.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По итогам текущего контр</w:t>
      </w:r>
      <w:r>
        <w:rPr>
          <w:rFonts w:ascii="Times New Roman" w:hAnsi="Times New Roman" w:cs="Times New Roman"/>
          <w:sz w:val="28"/>
          <w:szCs w:val="28"/>
        </w:rPr>
        <w:t>оля за учебный период (четверть</w:t>
      </w:r>
      <w:r w:rsidRPr="00C82462">
        <w:rPr>
          <w:rFonts w:ascii="Times New Roman" w:hAnsi="Times New Roman" w:cs="Times New Roman"/>
          <w:sz w:val="28"/>
          <w:szCs w:val="28"/>
        </w:rPr>
        <w:t>) выставляется отметка, которая выводится как среднее арифметическое, округленное по законам математики до целого числа.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2.7.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доводят до сведения родителей (законных представителей) информацию о результатах текущего контроля в соответствии с Положением о порядке ознакомления родителей (законных представителей) с результатами и ходом образовательной деятельности Школы.</w:t>
      </w:r>
    </w:p>
    <w:p w:rsidR="00E6363F" w:rsidRPr="00370C13" w:rsidRDefault="00E6363F" w:rsidP="003D0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13">
        <w:rPr>
          <w:rFonts w:ascii="Times New Roman" w:hAnsi="Times New Roman" w:cs="Times New Roman"/>
          <w:b/>
          <w:sz w:val="28"/>
          <w:szCs w:val="28"/>
        </w:rPr>
        <w:t>III.</w:t>
      </w:r>
      <w:r w:rsidRPr="00370C13">
        <w:rPr>
          <w:rFonts w:ascii="Times New Roman" w:hAnsi="Times New Roman" w:cs="Times New Roman"/>
          <w:b/>
          <w:sz w:val="28"/>
          <w:szCs w:val="28"/>
        </w:rPr>
        <w:tab/>
        <w:t>Содержание, формы и порядок пров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едения промежуточной аттестации </w:t>
      </w:r>
      <w:proofErr w:type="gramStart"/>
      <w:r w:rsidRPr="00370C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D00B7">
        <w:rPr>
          <w:rFonts w:ascii="Times New Roman" w:hAnsi="Times New Roman" w:cs="Times New Roman"/>
          <w:b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3.1.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Целью проведения промежуточной аттестации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(промежуточная аттестация) является установление уровня освоения обучающимися образовательной программы Школы, в том числе отдельной части или всего объема учебного предмета, курса, дисциплины (модуля) образовательной программы, для принятия решения о переводе обучающихся в следующий класс или об их допуске к итоговой аттестации.</w:t>
      </w:r>
    </w:p>
    <w:p w:rsidR="00E6363F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3.2.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проводится во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2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82462">
        <w:rPr>
          <w:rFonts w:ascii="Times New Roman" w:hAnsi="Times New Roman" w:cs="Times New Roman"/>
          <w:sz w:val="28"/>
          <w:szCs w:val="28"/>
        </w:rPr>
        <w:t xml:space="preserve"> классах по каждому учебному предмету, курсу, дисциплине, модулю как оценка уровня освоения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(начального, основного </w:t>
      </w:r>
      <w:r w:rsidRPr="00C82462">
        <w:rPr>
          <w:rFonts w:ascii="Times New Roman" w:hAnsi="Times New Roman" w:cs="Times New Roman"/>
          <w:sz w:val="28"/>
          <w:szCs w:val="28"/>
        </w:rPr>
        <w:t xml:space="preserve">общего образования). Сроки проведения промежуточной аттестации — </w:t>
      </w:r>
      <w:r>
        <w:rPr>
          <w:rFonts w:ascii="Times New Roman" w:hAnsi="Times New Roman" w:cs="Times New Roman"/>
          <w:sz w:val="28"/>
          <w:szCs w:val="28"/>
        </w:rPr>
        <w:t>апрель-</w:t>
      </w:r>
      <w:r w:rsidRPr="00C82462">
        <w:rPr>
          <w:rFonts w:ascii="Times New Roman" w:hAnsi="Times New Roman" w:cs="Times New Roman"/>
          <w:sz w:val="28"/>
          <w:szCs w:val="28"/>
        </w:rPr>
        <w:t xml:space="preserve">май учебного года (утверждаются календарным графиком школы ежегодно). 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3.3.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Оценочные (контрольно-измерительные) материалы для проведения промежуточной аттестации рассматриваются на заседаниях методических объединений (или педагогического совета) 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директором школы.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3.4.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Результаты промежуточной аттестации фиксируются в классных и электронных журналах.</w:t>
      </w:r>
    </w:p>
    <w:p w:rsidR="00E6363F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Фиксация результатов промежуточной аттестации осуществляется по пятибалльной шкале в соответствии с принятой в Школе системой оценивания. 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82462">
        <w:rPr>
          <w:rFonts w:ascii="Times New Roman" w:hAnsi="Times New Roman" w:cs="Times New Roman"/>
          <w:sz w:val="28"/>
          <w:szCs w:val="28"/>
        </w:rPr>
        <w:t>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Формами промежуточной аттестации в Школе являются: стандартизированные контрольные работы, тесты комплексные контрольные работы; диктанты; письменные ответы на вопросы теста, результаты текущего контроля и др. (формы промежуточной аттестации утверждаются учебным планом ежегодно)</w:t>
      </w:r>
      <w:r w:rsidR="002E3635">
        <w:rPr>
          <w:rFonts w:ascii="Times New Roman" w:hAnsi="Times New Roman" w:cs="Times New Roman"/>
          <w:sz w:val="28"/>
          <w:szCs w:val="28"/>
        </w:rPr>
        <w:t>, ВПР.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82462">
        <w:rPr>
          <w:rFonts w:ascii="Times New Roman" w:hAnsi="Times New Roman" w:cs="Times New Roman"/>
          <w:sz w:val="28"/>
          <w:szCs w:val="28"/>
        </w:rPr>
        <w:t>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C82462">
        <w:rPr>
          <w:rFonts w:ascii="Times New Roman" w:hAnsi="Times New Roman" w:cs="Times New Roman"/>
          <w:sz w:val="28"/>
          <w:szCs w:val="28"/>
        </w:rPr>
        <w:t>: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363F" w:rsidRPr="00370C13" w:rsidTr="006A001F">
        <w:tc>
          <w:tcPr>
            <w:tcW w:w="4785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"/>
                <w:sz w:val="28"/>
                <w:szCs w:val="28"/>
              </w:rPr>
              <w:t>Предмет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2 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3 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4 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</w:tbl>
    <w:p w:rsidR="00E6363F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На уровне основного общего образования: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363F" w:rsidRPr="00370C13" w:rsidTr="006A001F">
        <w:tc>
          <w:tcPr>
            <w:tcW w:w="4785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"/>
                <w:sz w:val="28"/>
                <w:szCs w:val="28"/>
              </w:rPr>
              <w:t>Предмет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5 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6 класс</w:t>
            </w: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7 класс</w:t>
            </w: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Алгебра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8 класс</w:t>
            </w: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Русский язык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 Математика</w:t>
            </w:r>
          </w:p>
        </w:tc>
      </w:tr>
      <w:tr w:rsidR="00E6363F" w:rsidRPr="00370C13" w:rsidTr="006A001F">
        <w:tc>
          <w:tcPr>
            <w:tcW w:w="4785" w:type="dxa"/>
            <w:vMerge w:val="restart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9 класс</w:t>
            </w: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 xml:space="preserve">Русский язык </w:t>
            </w:r>
          </w:p>
        </w:tc>
      </w:tr>
      <w:tr w:rsidR="00E6363F" w:rsidRPr="00370C13" w:rsidTr="006A001F">
        <w:tc>
          <w:tcPr>
            <w:tcW w:w="4785" w:type="dxa"/>
            <w:vMerge/>
          </w:tcPr>
          <w:p w:rsidR="00E6363F" w:rsidRPr="00370C13" w:rsidRDefault="00E6363F" w:rsidP="006A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63F" w:rsidRPr="00370C13" w:rsidRDefault="00E6363F" w:rsidP="006A001F">
            <w:pPr>
              <w:pStyle w:val="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0C13">
              <w:rPr>
                <w:rStyle w:val="11pt0pt"/>
                <w:sz w:val="28"/>
                <w:szCs w:val="28"/>
              </w:rPr>
              <w:t>Математика</w:t>
            </w:r>
          </w:p>
        </w:tc>
      </w:tr>
    </w:tbl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Pr="00C82462">
        <w:rPr>
          <w:rFonts w:ascii="Times New Roman" w:hAnsi="Times New Roman" w:cs="Times New Roman"/>
          <w:sz w:val="28"/>
          <w:szCs w:val="28"/>
        </w:rPr>
        <w:t xml:space="preserve"> учебным предметам, курсам, дисциплинам, модулям образовательных программ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решению Педагогического совета Школы. </w:t>
      </w:r>
      <w:r w:rsidRPr="00C82462">
        <w:rPr>
          <w:rFonts w:ascii="Times New Roman" w:hAnsi="Times New Roman" w:cs="Times New Roman"/>
          <w:sz w:val="28"/>
          <w:szCs w:val="28"/>
        </w:rPr>
        <w:t>Промежуточная аттестация по остальным учебным предметам, курсам, дисциплинам, модулям образовательных программ ежегодно проводится по результатам текущего контроля успеваемос</w:t>
      </w:r>
      <w:r>
        <w:rPr>
          <w:rFonts w:ascii="Times New Roman" w:hAnsi="Times New Roman" w:cs="Times New Roman"/>
          <w:sz w:val="28"/>
          <w:szCs w:val="28"/>
        </w:rPr>
        <w:t>ти по четвертям</w:t>
      </w:r>
      <w:r w:rsidRPr="00C82462">
        <w:rPr>
          <w:rFonts w:ascii="Times New Roman" w:hAnsi="Times New Roman" w:cs="Times New Roman"/>
          <w:sz w:val="28"/>
          <w:szCs w:val="28"/>
        </w:rPr>
        <w:t>. Отметка выводится как среднее арифметическое, округленное по законам математики до целого числа.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При пропуске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модуля, обучающийся имеет право ходатайствовать о переносе срока проведения промежуточной аттестации.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В этом случае срок проведения промежуточной аттестации определяется Школой с учетом учебного плана на основании заявления родителей (законных представителей) обучающегося и доводится до сведения обучающегося и его родителей (законных представителей) в письменной форме не позднее 3 рабочих дней с даты принятия решения, в том числе посредством факсимильной связи, электронной почты или другими видами почтовой связи.</w:t>
      </w:r>
      <w:proofErr w:type="gramEnd"/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3.8.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доводят до сведения родителей (законных представителей) информацию о результатах промежуточной аттестации обучающихся в соответствии с Положением о порядке ознакомления родителей (законных представителей) с результатами и ходом образовательной деятельности.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3.9.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Результаты промежуточной аттестации, зафиксированные в классных журналах, хранятся в Школе в соответствии с Положением «О хранении в архивах МБОУ </w:t>
      </w:r>
      <w:r w:rsidR="004E20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E203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C82462">
        <w:rPr>
          <w:rFonts w:ascii="Times New Roman" w:hAnsi="Times New Roman" w:cs="Times New Roman"/>
          <w:sz w:val="28"/>
          <w:szCs w:val="28"/>
        </w:rPr>
        <w:t>»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3.10.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Итоги промежуточной аттестации обсуждаются на заседаниях методических объединений и педагогического совета Школы с целью принятия решений по обеспечению требуемого качества образования.</w:t>
      </w:r>
    </w:p>
    <w:p w:rsidR="00E6363F" w:rsidRPr="00730062" w:rsidRDefault="00E6363F" w:rsidP="00E63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0062">
        <w:rPr>
          <w:rFonts w:ascii="Times New Roman" w:hAnsi="Times New Roman" w:cs="Times New Roman"/>
          <w:b/>
          <w:sz w:val="28"/>
          <w:szCs w:val="28"/>
        </w:rPr>
        <w:t>.</w:t>
      </w:r>
      <w:r w:rsidRPr="00730062">
        <w:rPr>
          <w:rFonts w:ascii="Times New Roman" w:hAnsi="Times New Roman" w:cs="Times New Roman"/>
          <w:b/>
          <w:sz w:val="28"/>
          <w:szCs w:val="28"/>
        </w:rPr>
        <w:tab/>
        <w:t>Особенности проведения промежуточной аттестации отдельных</w:t>
      </w:r>
    </w:p>
    <w:p w:rsidR="00E6363F" w:rsidRPr="00730062" w:rsidRDefault="00E6363F" w:rsidP="004E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62">
        <w:rPr>
          <w:rFonts w:ascii="Times New Roman" w:hAnsi="Times New Roman" w:cs="Times New Roman"/>
          <w:b/>
          <w:sz w:val="28"/>
          <w:szCs w:val="28"/>
        </w:rPr>
        <w:t>категорий обучающихся</w:t>
      </w:r>
      <w:r w:rsidR="004E2039">
        <w:rPr>
          <w:rFonts w:ascii="Times New Roman" w:hAnsi="Times New Roman" w:cs="Times New Roman"/>
          <w:b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4.1.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Индивидуальные сроки проведения промежуточной аттестации могут быть установлены Школой для следующих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обучающихся по заявлению их родителей (их законных представителей):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 xml:space="preserve">—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подобные мероприятия;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экстернов;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иных обучающихся по решению педагогического совета.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C82462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 на дому детей с ограниченными возможностями здоровья, детей, нуждающихся в длительном лечении, проводится по результатам текущего контроля успеваемост</w:t>
      </w:r>
      <w:r>
        <w:rPr>
          <w:rFonts w:ascii="Times New Roman" w:hAnsi="Times New Roman" w:cs="Times New Roman"/>
          <w:sz w:val="28"/>
          <w:szCs w:val="28"/>
        </w:rPr>
        <w:t xml:space="preserve">и по четвертям. </w:t>
      </w:r>
      <w:r w:rsidRPr="00C82462">
        <w:rPr>
          <w:rFonts w:ascii="Times New Roman" w:hAnsi="Times New Roman" w:cs="Times New Roman"/>
          <w:sz w:val="28"/>
          <w:szCs w:val="28"/>
        </w:rPr>
        <w:t>Отметка выводится как среднее арифметическое, округленное по законам математики до целого числа.</w:t>
      </w:r>
    </w:p>
    <w:p w:rsidR="00E6363F" w:rsidRPr="00730062" w:rsidRDefault="004E2039" w:rsidP="004E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>.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ab/>
        <w:t>Порядок перевода обучающихся в следующий класс, принятие решений о допуске обучающихся к государственной итоговой аттестации на основании результатов промежуточной аттестации обучающихся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5.1.</w:t>
      </w:r>
      <w:r w:rsidRPr="00C8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>, освоившие образовательную программу за учебный год, переводятся в следующий класс.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Обучающиеся, по результатам промежуточной аттестации признанные не освоившими основной образовательной программы начального общего и (или)основного общего образования, не допускаются к обучению на следующих уровнях общего образования.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5.2.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82462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82462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5.3.</w:t>
      </w:r>
      <w:r w:rsidRPr="00C8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5.4.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Школа создает условия обучающимся для ликвидации академической задолженности и обеспечивает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5.5.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с момента ее возникновения до 01 сентября текущего года. В указанный период не включается время болезни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5.6.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Для проведения промежуточной аттестации при ликвидации академической задолженности во второй раз Школа создает комиссию. Регламент работы и состав комиссии определяется приказом директора Школы.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5.7.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Не допускается взимание платы с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5.8.</w:t>
      </w:r>
      <w:r w:rsidRPr="00C8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</w:t>
      </w:r>
      <w:r>
        <w:rPr>
          <w:rFonts w:ascii="Times New Roman" w:hAnsi="Times New Roman" w:cs="Times New Roman"/>
          <w:sz w:val="28"/>
          <w:szCs w:val="28"/>
        </w:rPr>
        <w:t>ятся в следующий класс условно.</w:t>
      </w:r>
      <w:proofErr w:type="gramEnd"/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5.9.</w:t>
      </w:r>
      <w:r w:rsidRPr="00C8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Обучающиеся Школы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 xml:space="preserve">Школа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обучающегося в письменной форме в 10-дневной срок с даты </w:t>
      </w:r>
      <w:proofErr w:type="spellStart"/>
      <w:r w:rsidRPr="00C82462">
        <w:rPr>
          <w:rFonts w:ascii="Times New Roman" w:hAnsi="Times New Roman" w:cs="Times New Roman"/>
          <w:sz w:val="28"/>
          <w:szCs w:val="28"/>
        </w:rPr>
        <w:t>неликвидации</w:t>
      </w:r>
      <w:proofErr w:type="spellEnd"/>
      <w:r w:rsidRPr="00C82462">
        <w:rPr>
          <w:rFonts w:ascii="Times New Roman" w:hAnsi="Times New Roman" w:cs="Times New Roman"/>
          <w:sz w:val="28"/>
          <w:szCs w:val="28"/>
        </w:rPr>
        <w:t xml:space="preserve"> обучающимся академической задолженности. Родители (законные представители) обязаны принять соответствующее решение не позднее 30 дней с даты их уведомления о необходимости его принятия. В случае отказа родителей принять соответствующее решение, Школа составляет акт и извещает КДН, ПДН о неисполнении родителями (законными представителями) своих обязанностей.</w:t>
      </w:r>
    </w:p>
    <w:p w:rsidR="00E6363F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5.10.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На основании положительных результатов промежуточной атте</w:t>
      </w:r>
      <w:r w:rsidR="004E2039">
        <w:rPr>
          <w:rFonts w:ascii="Times New Roman" w:hAnsi="Times New Roman" w:cs="Times New Roman"/>
          <w:sz w:val="28"/>
          <w:szCs w:val="28"/>
        </w:rPr>
        <w:t>стации обучающихся 9-го класса,</w:t>
      </w:r>
      <w:r w:rsidRPr="00C82462">
        <w:rPr>
          <w:rFonts w:ascii="Times New Roman" w:hAnsi="Times New Roman" w:cs="Times New Roman"/>
          <w:sz w:val="28"/>
          <w:szCs w:val="28"/>
        </w:rPr>
        <w:t xml:space="preserve"> педагогический совет Школы принимает решение о допуске обучающихся к государственной итоговой аттестации. </w:t>
      </w:r>
    </w:p>
    <w:p w:rsidR="00E6363F" w:rsidRPr="00730062" w:rsidRDefault="004E2039" w:rsidP="004E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>.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ab/>
        <w:t>Оспаривание результатов пром</w:t>
      </w:r>
      <w:r w:rsidR="00E6363F">
        <w:rPr>
          <w:rFonts w:ascii="Times New Roman" w:hAnsi="Times New Roman" w:cs="Times New Roman"/>
          <w:b/>
          <w:sz w:val="28"/>
          <w:szCs w:val="28"/>
        </w:rPr>
        <w:t xml:space="preserve">ежуточной аттестации и текущего 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>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6.1.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Обучающиеся и (или) их законные представители,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6.2.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указанной комиссии). Заявление подается в </w:t>
      </w:r>
      <w:r w:rsidRPr="00C82462">
        <w:rPr>
          <w:rFonts w:ascii="Times New Roman" w:hAnsi="Times New Roman" w:cs="Times New Roman"/>
          <w:sz w:val="28"/>
          <w:szCs w:val="28"/>
        </w:rPr>
        <w:lastRenderedPageBreak/>
        <w:t>течение двух дней после уведомления о результатах текущего контроля успеваемости и промежуточной аттестации обучающихся.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6.3.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Заявление подается в письменном виде. В нем указывается информация: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 нарушении порядка проведения текущего контроля успеваемости и промежуточной аттестации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>;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 несогласии с результатами текущего контроля успеваемости и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6.4.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Проверять обоснованность заявления, а также доводы и факты, изложенные в заявлении,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6.5.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заявления комиссия по урегулированию споров между участниками образовательных отношений принимает одно из решений: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отклонить заявление;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признать результаты текущего контроля успеваемости или промежуточной аттестации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недействительными.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 xml:space="preserve">В случае признания результатов текущего контроля успеваемости или промежуточной аттестации обучающихся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>, комиссия должна: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определить порядок и сроки прохождения текущего контроля успеваемости или промежуточной аттестации обучающихся, результаты которых были отменены; при этом академическая задолженность </w:t>
      </w:r>
      <w:proofErr w:type="gramStart"/>
      <w:r w:rsidRPr="00C824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2462">
        <w:rPr>
          <w:rFonts w:ascii="Times New Roman" w:hAnsi="Times New Roman" w:cs="Times New Roman"/>
          <w:sz w:val="28"/>
          <w:szCs w:val="28"/>
        </w:rPr>
        <w:t xml:space="preserve"> обучающегося не образуется;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—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вынести решение в соответствии с принятой системой оценивания в образовательной организации.</w:t>
      </w:r>
    </w:p>
    <w:p w:rsidR="00E6363F" w:rsidRPr="00730062" w:rsidRDefault="004E2039" w:rsidP="004E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>.</w:t>
      </w:r>
      <w:r w:rsidR="00E6363F" w:rsidRPr="0073006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7.1.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Данное Положение согласовывается с Советом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82462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7.2.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Ходатайствовать о внесении изменений в Положение имеет право Совет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82462">
        <w:rPr>
          <w:rFonts w:ascii="Times New Roman" w:hAnsi="Times New Roman" w:cs="Times New Roman"/>
          <w:sz w:val="28"/>
          <w:szCs w:val="28"/>
        </w:rPr>
        <w:t>, педагогический совет.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вступает в силу с момента его утверждения директором.</w:t>
      </w:r>
    </w:p>
    <w:p w:rsidR="00E6363F" w:rsidRPr="00C82462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Изменения, вносимые в Положение, вступают в силу в том же порядке.</w:t>
      </w:r>
    </w:p>
    <w:p w:rsidR="00E6363F" w:rsidRDefault="00E6363F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 w:rsidRPr="00C82462">
        <w:rPr>
          <w:rFonts w:ascii="Times New Roman" w:hAnsi="Times New Roman" w:cs="Times New Roman"/>
          <w:sz w:val="28"/>
          <w:szCs w:val="28"/>
        </w:rPr>
        <w:t>7.4.</w:t>
      </w:r>
      <w:r w:rsidRPr="00C82462">
        <w:rPr>
          <w:rFonts w:ascii="Times New Roman" w:hAnsi="Times New Roman" w:cs="Times New Roman"/>
          <w:sz w:val="28"/>
          <w:szCs w:val="28"/>
        </w:rPr>
        <w:tab/>
        <w:t xml:space="preserve"> После утверждения Положения или изменений, внесенных в него, текст Положения размещается на официальном сайте и на информационном стенде Школы. До сведения педагогических работников содержание Положения доводится под роспись.</w:t>
      </w:r>
    </w:p>
    <w:p w:rsidR="004E2039" w:rsidRDefault="004E2039" w:rsidP="00E6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039" w:rsidRDefault="004E2039" w:rsidP="00E6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039" w:rsidRPr="00C82462" w:rsidRDefault="004E2039" w:rsidP="00E6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6363F" w:rsidRPr="00E6363F" w:rsidRDefault="00E6363F" w:rsidP="00E6363F">
      <w:pPr>
        <w:tabs>
          <w:tab w:val="left" w:pos="3975"/>
        </w:tabs>
      </w:pPr>
    </w:p>
    <w:sectPr w:rsidR="00E6363F" w:rsidRPr="00E6363F" w:rsidSect="0031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0"/>
    <w:rsid w:val="002E3635"/>
    <w:rsid w:val="00310C02"/>
    <w:rsid w:val="003111C8"/>
    <w:rsid w:val="00380A02"/>
    <w:rsid w:val="003D00B7"/>
    <w:rsid w:val="004C4265"/>
    <w:rsid w:val="004E2039"/>
    <w:rsid w:val="005F2580"/>
    <w:rsid w:val="005F51AF"/>
    <w:rsid w:val="0098636D"/>
    <w:rsid w:val="00AA38BF"/>
    <w:rsid w:val="00B2705F"/>
    <w:rsid w:val="00B87479"/>
    <w:rsid w:val="00BC3C1A"/>
    <w:rsid w:val="00E6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7"/>
    <w:rsid w:val="00E6363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pt0pt">
    <w:name w:val="Основной текст + 11 pt;Курсив;Интервал 0 pt"/>
    <w:basedOn w:val="a6"/>
    <w:rsid w:val="00E6363F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6"/>
    <w:rsid w:val="00E6363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pt">
    <w:name w:val="Основной текст + 11 pt;Полужирный"/>
    <w:basedOn w:val="a6"/>
    <w:rsid w:val="00E63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7"/>
    <w:rsid w:val="00E6363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pt0pt">
    <w:name w:val="Основной текст + 11 pt;Курсив;Интервал 0 pt"/>
    <w:basedOn w:val="a6"/>
    <w:rsid w:val="00E6363F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6"/>
    <w:rsid w:val="00E6363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pt">
    <w:name w:val="Основной текст + 11 pt;Полужирный"/>
    <w:basedOn w:val="a6"/>
    <w:rsid w:val="00E63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D694-EE36-4DEA-85B2-8FB83CA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2023-02-19T11:44:00Z</dcterms:created>
  <dcterms:modified xsi:type="dcterms:W3CDTF">2023-02-19T11:52:00Z</dcterms:modified>
</cp:coreProperties>
</file>